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CFF08" w14:textId="5C420200" w:rsidR="006A5215" w:rsidRPr="00640B5C" w:rsidRDefault="00E243F2" w:rsidP="7348ADB0">
      <w:pPr>
        <w:tabs>
          <w:tab w:val="left" w:pos="1316"/>
        </w:tabs>
        <w:jc w:val="center"/>
        <w:rPr>
          <w:b/>
          <w:bCs/>
          <w:sz w:val="24"/>
          <w:szCs w:val="24"/>
          <w:lang w:val="en-US"/>
        </w:rPr>
      </w:pPr>
      <w:r w:rsidRPr="7348ADB0">
        <w:rPr>
          <w:b/>
          <w:bCs/>
          <w:sz w:val="24"/>
          <w:szCs w:val="24"/>
        </w:rPr>
        <w:t>Ενδεικτική</w:t>
      </w:r>
      <w:r w:rsidRPr="00640B5C">
        <w:rPr>
          <w:b/>
          <w:bCs/>
          <w:spacing w:val="-5"/>
          <w:sz w:val="24"/>
          <w:szCs w:val="24"/>
          <w:lang w:val="en-US"/>
        </w:rPr>
        <w:t xml:space="preserve"> </w:t>
      </w:r>
      <w:r w:rsidR="00124AE9" w:rsidRPr="7348ADB0">
        <w:rPr>
          <w:b/>
          <w:bCs/>
          <w:spacing w:val="-5"/>
          <w:sz w:val="24"/>
          <w:szCs w:val="24"/>
        </w:rPr>
        <w:t>Β</w:t>
      </w:r>
      <w:r w:rsidRPr="7348ADB0">
        <w:rPr>
          <w:b/>
          <w:bCs/>
          <w:sz w:val="24"/>
          <w:szCs w:val="24"/>
        </w:rPr>
        <w:t>ιβλιογραφία</w:t>
      </w:r>
    </w:p>
    <w:p w14:paraId="066A730F" w14:textId="77777777" w:rsidR="00625884" w:rsidRPr="00640B5C" w:rsidRDefault="00625884" w:rsidP="00625884">
      <w:pPr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val="en-US" w:eastAsia="el-GR"/>
        </w:rPr>
      </w:pPr>
    </w:p>
    <w:p w14:paraId="6A003F5A" w14:textId="273E55F8" w:rsidR="00B756E0" w:rsidRPr="00F153A1" w:rsidRDefault="00B756E0" w:rsidP="00F153A1">
      <w:pPr>
        <w:spacing w:before="100" w:beforeAutospacing="1" w:after="100" w:afterAutospacing="1" w:line="276" w:lineRule="auto"/>
        <w:jc w:val="both"/>
        <w:rPr>
          <w:rFonts w:asciiTheme="minorHAnsi" w:hAnsiTheme="minorHAnsi" w:cstheme="minorHAnsi"/>
          <w:color w:val="000000"/>
          <w:lang w:val="en-US"/>
        </w:rPr>
      </w:pPr>
      <w:r w:rsidRPr="00F153A1">
        <w:rPr>
          <w:rFonts w:asciiTheme="minorHAnsi" w:hAnsiTheme="minorHAnsi" w:cstheme="minorHAnsi"/>
          <w:color w:val="000000"/>
          <w:lang w:val="en-US"/>
        </w:rPr>
        <w:t>Amagir, A., Groot, W., Maassen van den Brink, H., &amp; Wilschut, A. (2017). A review of financial-literacy education programs for children and adolescents.</w:t>
      </w:r>
      <w:r w:rsidRPr="00F153A1">
        <w:rPr>
          <w:rStyle w:val="apple-converted-space"/>
          <w:rFonts w:asciiTheme="minorHAnsi" w:hAnsiTheme="minorHAnsi" w:cstheme="minorHAnsi"/>
          <w:color w:val="000000"/>
          <w:lang w:val="en-US"/>
        </w:rPr>
        <w:t> </w:t>
      </w:r>
      <w:r w:rsidRPr="00F153A1">
        <w:rPr>
          <w:rFonts w:asciiTheme="minorHAnsi" w:hAnsiTheme="minorHAnsi" w:cstheme="minorHAnsi"/>
          <w:i/>
          <w:iCs/>
          <w:color w:val="000000"/>
          <w:lang w:val="en-US"/>
        </w:rPr>
        <w:t>Citizenship, Social and Economics Education</w:t>
      </w:r>
      <w:r w:rsidRPr="00F153A1">
        <w:rPr>
          <w:rFonts w:asciiTheme="minorHAnsi" w:hAnsiTheme="minorHAnsi" w:cstheme="minorHAnsi"/>
          <w:color w:val="000000"/>
          <w:lang w:val="en-US"/>
        </w:rPr>
        <w:t>,</w:t>
      </w:r>
      <w:r w:rsidRPr="00F153A1">
        <w:rPr>
          <w:rStyle w:val="apple-converted-space"/>
          <w:rFonts w:asciiTheme="minorHAnsi" w:hAnsiTheme="minorHAnsi" w:cstheme="minorHAnsi"/>
          <w:color w:val="000000"/>
          <w:lang w:val="en-US"/>
        </w:rPr>
        <w:t> </w:t>
      </w:r>
      <w:r w:rsidRPr="00F153A1">
        <w:rPr>
          <w:rFonts w:asciiTheme="minorHAnsi" w:hAnsiTheme="minorHAnsi" w:cstheme="minorHAnsi"/>
          <w:i/>
          <w:iCs/>
          <w:color w:val="000000"/>
          <w:lang w:val="en-US"/>
        </w:rPr>
        <w:t>17</w:t>
      </w:r>
      <w:r w:rsidRPr="00F153A1">
        <w:rPr>
          <w:rFonts w:asciiTheme="minorHAnsi" w:hAnsiTheme="minorHAnsi" w:cstheme="minorHAnsi"/>
          <w:color w:val="000000"/>
          <w:lang w:val="en-US"/>
        </w:rPr>
        <w:t>(1), 56-80.</w:t>
      </w:r>
      <w:r w:rsidRPr="00F153A1">
        <w:rPr>
          <w:rStyle w:val="apple-converted-space"/>
          <w:rFonts w:asciiTheme="minorHAnsi" w:hAnsiTheme="minorHAnsi" w:cstheme="minorHAnsi"/>
          <w:color w:val="000000"/>
          <w:lang w:val="en-US"/>
        </w:rPr>
        <w:t> </w:t>
      </w:r>
      <w:hyperlink r:id="rId10" w:history="1">
        <w:r w:rsidRPr="00F153A1">
          <w:rPr>
            <w:rStyle w:val="-"/>
            <w:rFonts w:asciiTheme="minorHAnsi" w:hAnsiTheme="minorHAnsi" w:cstheme="minorHAnsi"/>
            <w:lang w:val="en-US"/>
          </w:rPr>
          <w:t>https://doi.org/10.1177/2047173417719555</w:t>
        </w:r>
      </w:hyperlink>
      <w:r w:rsidRPr="00F153A1">
        <w:rPr>
          <w:rStyle w:val="apple-converted-space"/>
          <w:rFonts w:asciiTheme="minorHAnsi" w:hAnsiTheme="minorHAnsi" w:cstheme="minorHAnsi"/>
          <w:color w:val="000000"/>
          <w:lang w:val="en-US"/>
        </w:rPr>
        <w:t> </w:t>
      </w:r>
      <w:r w:rsidRPr="00F153A1">
        <w:rPr>
          <w:rFonts w:asciiTheme="minorHAnsi" w:hAnsiTheme="minorHAnsi" w:cstheme="minorHAnsi"/>
          <w:color w:val="000000"/>
          <w:lang w:val="en-US"/>
        </w:rPr>
        <w:t>(Original work published 2018)</w:t>
      </w:r>
      <w:r w:rsidR="00312EB0">
        <w:rPr>
          <w:rFonts w:asciiTheme="minorHAnsi" w:hAnsiTheme="minorHAnsi" w:cstheme="minorHAnsi"/>
          <w:color w:val="000000"/>
          <w:lang w:val="en-US"/>
        </w:rPr>
        <w:t>.</w:t>
      </w:r>
    </w:p>
    <w:p w14:paraId="24449FE9" w14:textId="047DD27A" w:rsidR="00896778" w:rsidRPr="00F153A1" w:rsidRDefault="00625884" w:rsidP="00F153A1">
      <w:pPr>
        <w:spacing w:before="100" w:beforeAutospacing="1" w:after="100" w:afterAutospacing="1" w:line="276" w:lineRule="auto"/>
        <w:jc w:val="both"/>
        <w:rPr>
          <w:rFonts w:eastAsia="Times New Roman"/>
          <w:color w:val="000000"/>
          <w:lang w:val="en-US" w:eastAsia="el-GR"/>
        </w:rPr>
      </w:pPr>
      <w:r w:rsidRPr="00F153A1">
        <w:rPr>
          <w:rFonts w:eastAsia="Times New Roman"/>
          <w:color w:val="000000"/>
          <w:lang w:val="en-US" w:eastAsia="el-GR"/>
        </w:rPr>
        <w:t xml:space="preserve">European Union – Eurobarometer (2023). </w:t>
      </w:r>
      <w:proofErr w:type="spellStart"/>
      <w:r w:rsidRPr="00F153A1">
        <w:rPr>
          <w:rFonts w:eastAsia="Times New Roman"/>
          <w:color w:val="000000"/>
          <w:lang w:eastAsia="el-GR"/>
        </w:rPr>
        <w:t>Προσβάσιμο</w:t>
      </w:r>
      <w:proofErr w:type="spellEnd"/>
      <w:r w:rsidRPr="00F153A1">
        <w:rPr>
          <w:rFonts w:eastAsia="Times New Roman"/>
          <w:color w:val="000000"/>
          <w:lang w:val="en-US" w:eastAsia="el-GR"/>
        </w:rPr>
        <w:t xml:space="preserve"> </w:t>
      </w:r>
      <w:r w:rsidRPr="00F153A1">
        <w:rPr>
          <w:rFonts w:eastAsia="Times New Roman"/>
          <w:color w:val="000000"/>
          <w:lang w:eastAsia="el-GR"/>
        </w:rPr>
        <w:t>στο</w:t>
      </w:r>
      <w:r w:rsidRPr="00F153A1">
        <w:rPr>
          <w:rFonts w:eastAsia="Times New Roman"/>
          <w:color w:val="000000"/>
          <w:lang w:val="en-US" w:eastAsia="el-GR"/>
        </w:rPr>
        <w:t xml:space="preserve">: </w:t>
      </w:r>
      <w:hyperlink r:id="rId11" w:history="1">
        <w:r w:rsidRPr="00F153A1">
          <w:rPr>
            <w:rStyle w:val="-"/>
            <w:rFonts w:eastAsia="Times New Roman"/>
            <w:lang w:val="en-US" w:eastAsia="el-GR"/>
          </w:rPr>
          <w:t>https://europa.eu/eurobarometer/surveys/detail/2953</w:t>
        </w:r>
      </w:hyperlink>
    </w:p>
    <w:p w14:paraId="4AEB9B19" w14:textId="1D74E1F0" w:rsidR="00625884" w:rsidRPr="00F153A1" w:rsidRDefault="00625884" w:rsidP="00F153A1">
      <w:pPr>
        <w:widowControl/>
        <w:autoSpaceDE/>
        <w:autoSpaceDN/>
        <w:spacing w:line="276" w:lineRule="auto"/>
        <w:jc w:val="both"/>
        <w:rPr>
          <w:rFonts w:asciiTheme="minorHAnsi" w:eastAsia="Times New Roman" w:hAnsiTheme="minorHAnsi" w:cstheme="minorHAnsi"/>
          <w:color w:val="000000"/>
          <w:lang w:val="en-US" w:eastAsia="el-GR"/>
        </w:rPr>
      </w:pPr>
      <w:r w:rsidRPr="00F153A1">
        <w:rPr>
          <w:rFonts w:asciiTheme="minorHAnsi" w:eastAsia="Times New Roman" w:hAnsiTheme="minorHAnsi" w:cstheme="minorHAnsi"/>
          <w:color w:val="000000"/>
          <w:lang w:val="en-US" w:eastAsia="el-GR"/>
        </w:rPr>
        <w:t>Fox, J., Bartholomae, S., &amp; Lee, J. (2005). Building the Case for Financial Education. </w:t>
      </w:r>
      <w:r w:rsidRPr="00F153A1">
        <w:rPr>
          <w:rFonts w:asciiTheme="minorHAnsi" w:eastAsia="Times New Roman" w:hAnsiTheme="minorHAnsi" w:cstheme="minorHAnsi"/>
          <w:i/>
          <w:iCs/>
          <w:color w:val="000000"/>
          <w:lang w:val="en-US" w:eastAsia="el-GR"/>
        </w:rPr>
        <w:t>The Journal of Consumer Affairs</w:t>
      </w:r>
      <w:r w:rsidRPr="00F153A1">
        <w:rPr>
          <w:rFonts w:asciiTheme="minorHAnsi" w:eastAsia="Times New Roman" w:hAnsiTheme="minorHAnsi" w:cstheme="minorHAnsi"/>
          <w:color w:val="000000"/>
          <w:lang w:val="en-US" w:eastAsia="el-GR"/>
        </w:rPr>
        <w:t>, </w:t>
      </w:r>
      <w:r w:rsidRPr="00F153A1">
        <w:rPr>
          <w:rFonts w:asciiTheme="minorHAnsi" w:eastAsia="Times New Roman" w:hAnsiTheme="minorHAnsi" w:cstheme="minorHAnsi"/>
          <w:i/>
          <w:iCs/>
          <w:color w:val="000000"/>
          <w:lang w:val="en-US" w:eastAsia="el-GR"/>
        </w:rPr>
        <w:t>39</w:t>
      </w:r>
      <w:r w:rsidRPr="00F153A1">
        <w:rPr>
          <w:rFonts w:asciiTheme="minorHAnsi" w:eastAsia="Times New Roman" w:hAnsiTheme="minorHAnsi" w:cstheme="minorHAnsi"/>
          <w:color w:val="000000"/>
          <w:lang w:val="en-US" w:eastAsia="el-GR"/>
        </w:rPr>
        <w:t>(1), 195–214. http://www.jstor.org/stable/23860132</w:t>
      </w:r>
      <w:r w:rsidR="00312EB0">
        <w:rPr>
          <w:rFonts w:asciiTheme="minorHAnsi" w:eastAsia="Times New Roman" w:hAnsiTheme="minorHAnsi" w:cstheme="minorHAnsi"/>
          <w:color w:val="000000"/>
          <w:lang w:val="en-US" w:eastAsia="el-GR"/>
        </w:rPr>
        <w:t>.</w:t>
      </w:r>
    </w:p>
    <w:p w14:paraId="2409F328" w14:textId="77777777" w:rsidR="00625884" w:rsidRPr="00F153A1" w:rsidRDefault="00625884" w:rsidP="00F153A1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  <w:u w:val="single"/>
          <w:lang w:val="en-US"/>
        </w:rPr>
      </w:pPr>
    </w:p>
    <w:p w14:paraId="5A5B516B" w14:textId="280C7BAC" w:rsidR="00625884" w:rsidRPr="00F153A1" w:rsidRDefault="00625884" w:rsidP="00F153A1">
      <w:pPr>
        <w:widowControl/>
        <w:autoSpaceDE/>
        <w:autoSpaceDN/>
        <w:spacing w:line="276" w:lineRule="auto"/>
        <w:jc w:val="both"/>
        <w:rPr>
          <w:rFonts w:asciiTheme="minorHAnsi" w:eastAsia="Times New Roman" w:hAnsiTheme="minorHAnsi" w:cstheme="minorHAnsi"/>
          <w:color w:val="000000"/>
          <w:lang w:val="en-US" w:eastAsia="el-GR"/>
        </w:rPr>
      </w:pPr>
      <w:r w:rsidRPr="00F153A1">
        <w:rPr>
          <w:rFonts w:asciiTheme="minorHAnsi" w:eastAsia="Times New Roman" w:hAnsiTheme="minorHAnsi" w:cstheme="minorHAnsi"/>
          <w:color w:val="000000"/>
          <w:lang w:val="en-US" w:eastAsia="el-GR"/>
        </w:rPr>
        <w:t xml:space="preserve">Hastings, J. S., </w:t>
      </w:r>
      <w:proofErr w:type="spellStart"/>
      <w:r w:rsidRPr="00F153A1">
        <w:rPr>
          <w:rFonts w:asciiTheme="minorHAnsi" w:eastAsia="Times New Roman" w:hAnsiTheme="minorHAnsi" w:cstheme="minorHAnsi"/>
          <w:color w:val="000000"/>
          <w:lang w:val="en-US" w:eastAsia="el-GR"/>
        </w:rPr>
        <w:t>Madrian</w:t>
      </w:r>
      <w:proofErr w:type="spellEnd"/>
      <w:r w:rsidRPr="00F153A1">
        <w:rPr>
          <w:rFonts w:asciiTheme="minorHAnsi" w:eastAsia="Times New Roman" w:hAnsiTheme="minorHAnsi" w:cstheme="minorHAnsi"/>
          <w:color w:val="000000"/>
          <w:lang w:val="en-US" w:eastAsia="el-GR"/>
        </w:rPr>
        <w:t xml:space="preserve">, B. C., &amp; </w:t>
      </w:r>
      <w:proofErr w:type="spellStart"/>
      <w:r w:rsidRPr="00F153A1">
        <w:rPr>
          <w:rFonts w:asciiTheme="minorHAnsi" w:eastAsia="Times New Roman" w:hAnsiTheme="minorHAnsi" w:cstheme="minorHAnsi"/>
          <w:color w:val="000000"/>
          <w:lang w:val="en-US" w:eastAsia="el-GR"/>
        </w:rPr>
        <w:t>Skimmyhorn</w:t>
      </w:r>
      <w:proofErr w:type="spellEnd"/>
      <w:r w:rsidRPr="00F153A1">
        <w:rPr>
          <w:rFonts w:asciiTheme="minorHAnsi" w:eastAsia="Times New Roman" w:hAnsiTheme="minorHAnsi" w:cstheme="minorHAnsi"/>
          <w:color w:val="000000"/>
          <w:lang w:val="en-US" w:eastAsia="el-GR"/>
        </w:rPr>
        <w:t>, W. L. (2013). Financial Literacy, Financial Education, and Economic Outcomes. </w:t>
      </w:r>
      <w:r w:rsidRPr="00F153A1">
        <w:rPr>
          <w:rFonts w:asciiTheme="minorHAnsi" w:eastAsia="Times New Roman" w:hAnsiTheme="minorHAnsi" w:cstheme="minorHAnsi"/>
          <w:i/>
          <w:iCs/>
          <w:color w:val="000000"/>
          <w:lang w:val="en-US" w:eastAsia="el-GR"/>
        </w:rPr>
        <w:t>Annual Review of Economics</w:t>
      </w:r>
      <w:r w:rsidRPr="00F153A1">
        <w:rPr>
          <w:rFonts w:asciiTheme="minorHAnsi" w:eastAsia="Times New Roman" w:hAnsiTheme="minorHAnsi" w:cstheme="minorHAnsi"/>
          <w:color w:val="000000"/>
          <w:lang w:val="en-US" w:eastAsia="el-GR"/>
        </w:rPr>
        <w:t>, </w:t>
      </w:r>
      <w:r w:rsidRPr="00F153A1">
        <w:rPr>
          <w:rFonts w:asciiTheme="minorHAnsi" w:eastAsia="Times New Roman" w:hAnsiTheme="minorHAnsi" w:cstheme="minorHAnsi"/>
          <w:i/>
          <w:iCs/>
          <w:color w:val="000000"/>
          <w:lang w:val="en-US" w:eastAsia="el-GR"/>
        </w:rPr>
        <w:t>5</w:t>
      </w:r>
      <w:r w:rsidRPr="00F153A1">
        <w:rPr>
          <w:rFonts w:asciiTheme="minorHAnsi" w:eastAsia="Times New Roman" w:hAnsiTheme="minorHAnsi" w:cstheme="minorHAnsi"/>
          <w:color w:val="000000"/>
          <w:lang w:val="en-US" w:eastAsia="el-GR"/>
        </w:rPr>
        <w:t>, 347–373. http://www.jstor.org/stable/42940072</w:t>
      </w:r>
      <w:r w:rsidR="00312EB0">
        <w:rPr>
          <w:rFonts w:asciiTheme="minorHAnsi" w:eastAsia="Times New Roman" w:hAnsiTheme="minorHAnsi" w:cstheme="minorHAnsi"/>
          <w:color w:val="000000"/>
          <w:lang w:val="en-US" w:eastAsia="el-GR"/>
        </w:rPr>
        <w:t>.</w:t>
      </w:r>
    </w:p>
    <w:p w14:paraId="212468E4" w14:textId="77777777" w:rsidR="00625884" w:rsidRPr="00F153A1" w:rsidRDefault="00625884" w:rsidP="00F153A1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color w:val="1B1B1B"/>
          <w:shd w:val="clear" w:color="auto" w:fill="FFFFFF"/>
          <w:lang w:val="en-US"/>
        </w:rPr>
      </w:pPr>
    </w:p>
    <w:p w14:paraId="4C8A79EC" w14:textId="01F133E7" w:rsidR="003B4E91" w:rsidRPr="00312EB0" w:rsidRDefault="003B4E91" w:rsidP="003B4E91">
      <w:pPr>
        <w:widowControl/>
        <w:autoSpaceDE/>
        <w:autoSpaceDN/>
        <w:rPr>
          <w:rFonts w:asciiTheme="minorHAnsi" w:eastAsia="Times New Roman" w:hAnsiTheme="minorHAnsi" w:cstheme="minorHAnsi"/>
          <w:i/>
          <w:iCs/>
          <w:color w:val="000000"/>
          <w:lang w:val="en-US" w:eastAsia="el-GR"/>
        </w:rPr>
      </w:pPr>
      <w:r>
        <w:rPr>
          <w:rFonts w:asciiTheme="minorHAnsi" w:hAnsiTheme="minorHAnsi" w:cstheme="minorHAnsi"/>
          <w:color w:val="1B1B1B"/>
          <w:shd w:val="clear" w:color="auto" w:fill="FFFFFF"/>
        </w:rPr>
        <w:t>Ηλιόπουλος</w:t>
      </w:r>
      <w:r w:rsidRPr="00021C02">
        <w:rPr>
          <w:rFonts w:asciiTheme="minorHAnsi" w:hAnsiTheme="minorHAnsi" w:cstheme="minorHAnsi"/>
          <w:color w:val="1B1B1B"/>
          <w:shd w:val="clear" w:color="auto" w:fill="FFFFFF"/>
          <w:lang w:val="en-US"/>
        </w:rPr>
        <w:t xml:space="preserve">, </w:t>
      </w:r>
      <w:r>
        <w:rPr>
          <w:rFonts w:asciiTheme="minorHAnsi" w:hAnsiTheme="minorHAnsi" w:cstheme="minorHAnsi"/>
          <w:color w:val="1B1B1B"/>
          <w:shd w:val="clear" w:color="auto" w:fill="FFFFFF"/>
        </w:rPr>
        <w:t>Β</w:t>
      </w:r>
      <w:r w:rsidRPr="00021C02">
        <w:rPr>
          <w:rFonts w:asciiTheme="minorHAnsi" w:hAnsiTheme="minorHAnsi" w:cstheme="minorHAnsi"/>
          <w:color w:val="1B1B1B"/>
          <w:shd w:val="clear" w:color="auto" w:fill="FFFFFF"/>
          <w:lang w:val="en-US"/>
        </w:rPr>
        <w:t xml:space="preserve">. (2025). </w:t>
      </w:r>
      <w:r w:rsidRPr="003B4E91">
        <w:rPr>
          <w:rFonts w:asciiTheme="minorHAnsi" w:eastAsia="Times New Roman" w:hAnsiTheme="minorHAnsi" w:cstheme="minorHAnsi"/>
          <w:i/>
          <w:iCs/>
          <w:color w:val="000000"/>
          <w:lang w:eastAsia="el-GR"/>
        </w:rPr>
        <w:t xml:space="preserve">Παραμύθια </w:t>
      </w:r>
      <w:r w:rsidR="00021C02">
        <w:rPr>
          <w:rFonts w:asciiTheme="minorHAnsi" w:eastAsia="Times New Roman" w:hAnsiTheme="minorHAnsi" w:cstheme="minorHAnsi"/>
          <w:i/>
          <w:iCs/>
          <w:color w:val="000000"/>
          <w:lang w:eastAsia="el-GR"/>
        </w:rPr>
        <w:t>Χρηματοοικονομικής Παιδείας – Έλα να μάθεις για την οικονομία</w:t>
      </w:r>
      <w:r>
        <w:rPr>
          <w:rFonts w:asciiTheme="minorHAnsi" w:eastAsia="Times New Roman" w:hAnsiTheme="minorHAnsi" w:cstheme="minorHAnsi"/>
          <w:i/>
          <w:iCs/>
          <w:color w:val="000000"/>
          <w:lang w:eastAsia="el-GR"/>
        </w:rPr>
        <w:t xml:space="preserve">. </w:t>
      </w:r>
      <w:r w:rsidRPr="003B4E91">
        <w:rPr>
          <w:rFonts w:asciiTheme="minorHAnsi" w:eastAsia="Times New Roman" w:hAnsiTheme="minorHAnsi" w:cstheme="minorHAnsi"/>
          <w:color w:val="000000"/>
          <w:lang w:eastAsia="el-GR"/>
        </w:rPr>
        <w:t>Εκδόσεις</w:t>
      </w:r>
      <w:r w:rsidRPr="00640B5C">
        <w:rPr>
          <w:rFonts w:asciiTheme="minorHAnsi" w:eastAsia="Times New Roman" w:hAnsiTheme="minorHAnsi" w:cstheme="minorHAnsi"/>
          <w:color w:val="000000"/>
          <w:lang w:val="en-US" w:eastAsia="el-GR"/>
        </w:rPr>
        <w:t xml:space="preserve"> </w:t>
      </w:r>
      <w:r w:rsidRPr="003B4E91">
        <w:rPr>
          <w:rFonts w:asciiTheme="minorHAnsi" w:eastAsia="Times New Roman" w:hAnsiTheme="minorHAnsi" w:cstheme="minorHAnsi"/>
          <w:color w:val="000000"/>
          <w:lang w:eastAsia="el-GR"/>
        </w:rPr>
        <w:t>Νομική</w:t>
      </w:r>
      <w:r w:rsidRPr="00640B5C">
        <w:rPr>
          <w:rFonts w:asciiTheme="minorHAnsi" w:eastAsia="Times New Roman" w:hAnsiTheme="minorHAnsi" w:cstheme="minorHAnsi"/>
          <w:color w:val="000000"/>
          <w:lang w:val="en-US" w:eastAsia="el-GR"/>
        </w:rPr>
        <w:t xml:space="preserve"> </w:t>
      </w:r>
      <w:r w:rsidRPr="003B4E91">
        <w:rPr>
          <w:rFonts w:asciiTheme="minorHAnsi" w:eastAsia="Times New Roman" w:hAnsiTheme="minorHAnsi" w:cstheme="minorHAnsi"/>
          <w:color w:val="000000"/>
          <w:lang w:eastAsia="el-GR"/>
        </w:rPr>
        <w:t>Βιβλιοθήκη</w:t>
      </w:r>
      <w:r w:rsidR="00312EB0">
        <w:rPr>
          <w:rFonts w:asciiTheme="minorHAnsi" w:eastAsia="Times New Roman" w:hAnsiTheme="minorHAnsi" w:cstheme="minorHAnsi"/>
          <w:color w:val="000000"/>
          <w:lang w:val="en-US" w:eastAsia="el-GR"/>
        </w:rPr>
        <w:t>.</w:t>
      </w:r>
    </w:p>
    <w:p w14:paraId="2F048A83" w14:textId="77777777" w:rsidR="003B4E91" w:rsidRPr="00640B5C" w:rsidRDefault="003B4E91" w:rsidP="00F153A1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color w:val="1B1B1B"/>
          <w:shd w:val="clear" w:color="auto" w:fill="FFFFFF"/>
          <w:lang w:val="en-US"/>
        </w:rPr>
      </w:pPr>
    </w:p>
    <w:p w14:paraId="71B6E862" w14:textId="291DB810" w:rsidR="00625884" w:rsidRPr="00F153A1" w:rsidRDefault="00625884" w:rsidP="00F153A1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color w:val="1B1B1B"/>
          <w:shd w:val="clear" w:color="auto" w:fill="FFFFFF"/>
          <w:lang w:val="en-US"/>
        </w:rPr>
      </w:pPr>
      <w:r w:rsidRPr="00F153A1">
        <w:rPr>
          <w:rFonts w:asciiTheme="minorHAnsi" w:hAnsiTheme="minorHAnsi" w:cstheme="minorHAnsi"/>
          <w:color w:val="1B1B1B"/>
          <w:shd w:val="clear" w:color="auto" w:fill="FFFFFF"/>
          <w:lang w:val="en-US"/>
        </w:rPr>
        <w:t>Kong Y. (2021). The Role of Experiential Learning on Students' Motivation and Classroom Engagement.</w:t>
      </w:r>
      <w:r w:rsidRPr="00F153A1">
        <w:rPr>
          <w:rStyle w:val="apple-converted-space"/>
          <w:rFonts w:asciiTheme="minorHAnsi" w:hAnsiTheme="minorHAnsi" w:cstheme="minorHAnsi"/>
          <w:color w:val="1B1B1B"/>
          <w:shd w:val="clear" w:color="auto" w:fill="FFFFFF"/>
          <w:lang w:val="en-US"/>
        </w:rPr>
        <w:t> </w:t>
      </w:r>
      <w:r w:rsidRPr="00F153A1">
        <w:rPr>
          <w:rFonts w:asciiTheme="minorHAnsi" w:hAnsiTheme="minorHAnsi" w:cstheme="minorHAnsi"/>
          <w:i/>
          <w:iCs/>
          <w:color w:val="1B1B1B"/>
          <w:lang w:val="en-US"/>
        </w:rPr>
        <w:t>Frontiers in psychology</w:t>
      </w:r>
      <w:r w:rsidRPr="00F153A1">
        <w:rPr>
          <w:rFonts w:asciiTheme="minorHAnsi" w:hAnsiTheme="minorHAnsi" w:cstheme="minorHAnsi"/>
          <w:color w:val="1B1B1B"/>
          <w:shd w:val="clear" w:color="auto" w:fill="FFFFFF"/>
          <w:lang w:val="en-US"/>
        </w:rPr>
        <w:t>,</w:t>
      </w:r>
      <w:r w:rsidRPr="00F153A1">
        <w:rPr>
          <w:rStyle w:val="apple-converted-space"/>
          <w:rFonts w:asciiTheme="minorHAnsi" w:hAnsiTheme="minorHAnsi" w:cstheme="minorHAnsi"/>
          <w:color w:val="1B1B1B"/>
          <w:shd w:val="clear" w:color="auto" w:fill="FFFFFF"/>
          <w:lang w:val="en-US"/>
        </w:rPr>
        <w:t> </w:t>
      </w:r>
      <w:r w:rsidRPr="00F153A1">
        <w:rPr>
          <w:rFonts w:asciiTheme="minorHAnsi" w:hAnsiTheme="minorHAnsi" w:cstheme="minorHAnsi"/>
          <w:i/>
          <w:iCs/>
          <w:color w:val="1B1B1B"/>
          <w:lang w:val="en-US"/>
        </w:rPr>
        <w:t>12</w:t>
      </w:r>
      <w:r w:rsidRPr="00F153A1">
        <w:rPr>
          <w:rFonts w:asciiTheme="minorHAnsi" w:hAnsiTheme="minorHAnsi" w:cstheme="minorHAnsi"/>
          <w:color w:val="1B1B1B"/>
          <w:shd w:val="clear" w:color="auto" w:fill="FFFFFF"/>
          <w:lang w:val="en-US"/>
        </w:rPr>
        <w:t xml:space="preserve">, 771272. </w:t>
      </w:r>
      <w:r w:rsidR="00312EB0">
        <w:fldChar w:fldCharType="begin"/>
      </w:r>
      <w:r w:rsidR="00312EB0" w:rsidRPr="00312EB0">
        <w:rPr>
          <w:lang w:val="en-US"/>
        </w:rPr>
        <w:instrText xml:space="preserve"> HYPERLINK "https://doi.org/10.3389/fpsyg.2021.771272" </w:instrText>
      </w:r>
      <w:r w:rsidR="00312EB0">
        <w:fldChar w:fldCharType="separate"/>
      </w:r>
      <w:r w:rsidRPr="00F153A1">
        <w:rPr>
          <w:rStyle w:val="-"/>
          <w:rFonts w:asciiTheme="minorHAnsi" w:hAnsiTheme="minorHAnsi" w:cstheme="minorHAnsi"/>
          <w:shd w:val="clear" w:color="auto" w:fill="FFFFFF"/>
          <w:lang w:val="en-US"/>
        </w:rPr>
        <w:t>https://doi.org/10.3389/fpsyg.2021.771272</w:t>
      </w:r>
      <w:r w:rsidR="00312EB0">
        <w:rPr>
          <w:rStyle w:val="-"/>
          <w:rFonts w:asciiTheme="minorHAnsi" w:hAnsiTheme="minorHAnsi" w:cstheme="minorHAnsi"/>
          <w:shd w:val="clear" w:color="auto" w:fill="FFFFFF"/>
          <w:lang w:val="en-US"/>
        </w:rPr>
        <w:fldChar w:fldCharType="end"/>
      </w:r>
      <w:r w:rsidR="00312EB0">
        <w:rPr>
          <w:rStyle w:val="-"/>
          <w:rFonts w:asciiTheme="minorHAnsi" w:hAnsiTheme="minorHAnsi" w:cstheme="minorHAnsi"/>
          <w:shd w:val="clear" w:color="auto" w:fill="FFFFFF"/>
          <w:lang w:val="en-US"/>
        </w:rPr>
        <w:t>.</w:t>
      </w:r>
      <w:bookmarkStart w:id="0" w:name="_GoBack"/>
      <w:bookmarkEnd w:id="0"/>
    </w:p>
    <w:p w14:paraId="39035C57" w14:textId="205BDF93" w:rsidR="00896778" w:rsidRPr="00F153A1" w:rsidRDefault="00896778" w:rsidP="00F153A1">
      <w:pPr>
        <w:spacing w:before="100" w:beforeAutospacing="1" w:after="100" w:afterAutospacing="1" w:line="276" w:lineRule="auto"/>
        <w:jc w:val="both"/>
        <w:rPr>
          <w:rFonts w:eastAsia="Times New Roman"/>
          <w:color w:val="000000"/>
          <w:lang w:eastAsia="el-GR"/>
        </w:rPr>
      </w:pPr>
      <w:r w:rsidRPr="00F153A1">
        <w:rPr>
          <w:rFonts w:eastAsia="Times New Roman"/>
          <w:color w:val="000000"/>
          <w:lang w:eastAsia="el-GR"/>
        </w:rPr>
        <w:t>ΟΗΕ</w:t>
      </w:r>
      <w:r w:rsidRPr="00F153A1">
        <w:rPr>
          <w:rFonts w:eastAsia="Times New Roman"/>
          <w:color w:val="000000"/>
          <w:lang w:val="en-US" w:eastAsia="el-GR"/>
        </w:rPr>
        <w:t xml:space="preserve"> (2015)</w:t>
      </w:r>
      <w:r w:rsidR="002D2711" w:rsidRPr="00F153A1">
        <w:rPr>
          <w:rFonts w:eastAsia="Times New Roman"/>
          <w:color w:val="000000"/>
          <w:lang w:val="en-US" w:eastAsia="el-GR"/>
        </w:rPr>
        <w:t>.</w:t>
      </w:r>
      <w:r w:rsidRPr="00F153A1">
        <w:rPr>
          <w:rFonts w:eastAsia="Times New Roman"/>
          <w:color w:val="000000"/>
          <w:lang w:val="en-US" w:eastAsia="el-GR"/>
        </w:rPr>
        <w:t xml:space="preserve"> </w:t>
      </w:r>
      <w:r w:rsidRPr="00F153A1">
        <w:rPr>
          <w:rFonts w:eastAsia="Times New Roman"/>
          <w:color w:val="000000"/>
          <w:lang w:eastAsia="el-GR"/>
        </w:rPr>
        <w:t>Στόχοι</w:t>
      </w:r>
      <w:r w:rsidRPr="00F153A1">
        <w:rPr>
          <w:rFonts w:eastAsia="Times New Roman"/>
          <w:color w:val="000000"/>
          <w:lang w:val="en-US" w:eastAsia="el-GR"/>
        </w:rPr>
        <w:t xml:space="preserve"> </w:t>
      </w:r>
      <w:r w:rsidRPr="00F153A1">
        <w:rPr>
          <w:rFonts w:eastAsia="Times New Roman"/>
          <w:color w:val="000000"/>
          <w:lang w:eastAsia="el-GR"/>
        </w:rPr>
        <w:t>Βιώσιμης</w:t>
      </w:r>
      <w:r w:rsidRPr="00F153A1">
        <w:rPr>
          <w:rFonts w:eastAsia="Times New Roman"/>
          <w:color w:val="000000"/>
          <w:lang w:val="en-US" w:eastAsia="el-GR"/>
        </w:rPr>
        <w:t xml:space="preserve"> </w:t>
      </w:r>
      <w:r w:rsidRPr="00F153A1">
        <w:rPr>
          <w:rFonts w:eastAsia="Times New Roman"/>
          <w:color w:val="000000"/>
          <w:lang w:eastAsia="el-GR"/>
        </w:rPr>
        <w:t>Ανάπτυξης</w:t>
      </w:r>
      <w:r w:rsidRPr="00F153A1">
        <w:rPr>
          <w:rFonts w:eastAsia="Times New Roman"/>
          <w:color w:val="000000"/>
          <w:lang w:val="en-US" w:eastAsia="el-GR"/>
        </w:rPr>
        <w:t xml:space="preserve">. </w:t>
      </w:r>
      <w:proofErr w:type="spellStart"/>
      <w:r w:rsidRPr="00F153A1">
        <w:rPr>
          <w:rFonts w:eastAsia="Times New Roman"/>
          <w:color w:val="000000"/>
          <w:lang w:eastAsia="el-GR"/>
        </w:rPr>
        <w:t>Προσβάσιμο</w:t>
      </w:r>
      <w:proofErr w:type="spellEnd"/>
      <w:r w:rsidRPr="00F153A1">
        <w:rPr>
          <w:rFonts w:eastAsia="Times New Roman"/>
          <w:color w:val="000000"/>
          <w:lang w:eastAsia="el-GR"/>
        </w:rPr>
        <w:t xml:space="preserve"> στο: </w:t>
      </w:r>
      <w:hyperlink r:id="rId12" w:history="1">
        <w:r w:rsidRPr="00F153A1">
          <w:rPr>
            <w:rStyle w:val="-"/>
            <w:rFonts w:eastAsia="Times New Roman"/>
            <w:lang w:val="en-US" w:eastAsia="el-GR"/>
          </w:rPr>
          <w:t>https</w:t>
        </w:r>
        <w:r w:rsidRPr="00F153A1">
          <w:rPr>
            <w:rStyle w:val="-"/>
            <w:rFonts w:eastAsia="Times New Roman"/>
            <w:lang w:eastAsia="el-GR"/>
          </w:rPr>
          <w:t>://</w:t>
        </w:r>
        <w:proofErr w:type="spellStart"/>
        <w:r w:rsidRPr="00F153A1">
          <w:rPr>
            <w:rStyle w:val="-"/>
            <w:rFonts w:eastAsia="Times New Roman"/>
            <w:lang w:val="en-US" w:eastAsia="el-GR"/>
          </w:rPr>
          <w:t>unric</w:t>
        </w:r>
        <w:proofErr w:type="spellEnd"/>
        <w:r w:rsidRPr="00F153A1">
          <w:rPr>
            <w:rStyle w:val="-"/>
            <w:rFonts w:eastAsia="Times New Roman"/>
            <w:lang w:eastAsia="el-GR"/>
          </w:rPr>
          <w:t>.</w:t>
        </w:r>
        <w:r w:rsidRPr="00F153A1">
          <w:rPr>
            <w:rStyle w:val="-"/>
            <w:rFonts w:eastAsia="Times New Roman"/>
            <w:lang w:val="en-US" w:eastAsia="el-GR"/>
          </w:rPr>
          <w:t>org</w:t>
        </w:r>
        <w:r w:rsidRPr="00F153A1">
          <w:rPr>
            <w:rStyle w:val="-"/>
            <w:rFonts w:eastAsia="Times New Roman"/>
            <w:lang w:eastAsia="el-GR"/>
          </w:rPr>
          <w:t>/</w:t>
        </w:r>
        <w:r w:rsidRPr="00F153A1">
          <w:rPr>
            <w:rStyle w:val="-"/>
            <w:rFonts w:eastAsia="Times New Roman"/>
            <w:lang w:val="en-US" w:eastAsia="el-GR"/>
          </w:rPr>
          <w:t>el</w:t>
        </w:r>
        <w:r w:rsidRPr="00F153A1">
          <w:rPr>
            <w:rStyle w:val="-"/>
            <w:rFonts w:eastAsia="Times New Roman"/>
            <w:lang w:eastAsia="el-GR"/>
          </w:rPr>
          <w:t>/17-στοχοι-βιωσιμησ-αναπτυξησ/</w:t>
        </w:r>
      </w:hyperlink>
      <w:r w:rsidRPr="00F153A1">
        <w:rPr>
          <w:rFonts w:eastAsia="Times New Roman"/>
          <w:color w:val="000000"/>
          <w:lang w:eastAsia="el-GR"/>
        </w:rPr>
        <w:t xml:space="preserve"> </w:t>
      </w:r>
    </w:p>
    <w:p w14:paraId="50FA4734" w14:textId="1D60E429" w:rsidR="00896778" w:rsidRPr="00312EB0" w:rsidRDefault="00896778" w:rsidP="00F153A1">
      <w:pPr>
        <w:spacing w:line="276" w:lineRule="auto"/>
        <w:jc w:val="both"/>
        <w:rPr>
          <w:rFonts w:eastAsia="Times New Roman"/>
          <w:color w:val="000000"/>
          <w:lang w:eastAsia="el-GR"/>
        </w:rPr>
      </w:pPr>
      <w:r w:rsidRPr="00F153A1">
        <w:rPr>
          <w:rFonts w:eastAsia="Times New Roman"/>
          <w:color w:val="000000"/>
          <w:lang w:eastAsia="el-GR"/>
        </w:rPr>
        <w:t>ΟΟΣΑ (2024)</w:t>
      </w:r>
      <w:r w:rsidR="002D2711" w:rsidRPr="00F153A1">
        <w:rPr>
          <w:rFonts w:eastAsia="Times New Roman"/>
          <w:color w:val="000000"/>
          <w:lang w:eastAsia="el-GR"/>
        </w:rPr>
        <w:t>.</w:t>
      </w:r>
      <w:r w:rsidRPr="00F153A1">
        <w:rPr>
          <w:rFonts w:eastAsia="Times New Roman"/>
          <w:color w:val="000000"/>
          <w:lang w:eastAsia="el-GR"/>
        </w:rPr>
        <w:t xml:space="preserve"> </w:t>
      </w:r>
      <w:proofErr w:type="spellStart"/>
      <w:r w:rsidRPr="00F153A1">
        <w:rPr>
          <w:rFonts w:eastAsia="Times New Roman"/>
          <w:color w:val="000000"/>
          <w:lang w:eastAsia="el-GR"/>
        </w:rPr>
        <w:t>Χρηματοικονομικός</w:t>
      </w:r>
      <w:proofErr w:type="spellEnd"/>
      <w:r w:rsidRPr="00F153A1">
        <w:rPr>
          <w:rFonts w:eastAsia="Times New Roman"/>
          <w:color w:val="000000"/>
          <w:lang w:eastAsia="el-GR"/>
        </w:rPr>
        <w:t xml:space="preserve"> </w:t>
      </w:r>
      <w:proofErr w:type="spellStart"/>
      <w:r w:rsidRPr="00F153A1">
        <w:rPr>
          <w:rFonts w:eastAsia="Times New Roman"/>
          <w:color w:val="000000"/>
          <w:lang w:eastAsia="el-GR"/>
        </w:rPr>
        <w:t>εγγραμματισμός</w:t>
      </w:r>
      <w:proofErr w:type="spellEnd"/>
      <w:r w:rsidRPr="00F153A1">
        <w:rPr>
          <w:rFonts w:eastAsia="Times New Roman"/>
          <w:color w:val="000000"/>
          <w:lang w:eastAsia="el-GR"/>
        </w:rPr>
        <w:t xml:space="preserve"> στην Ελλάδα : Σημασία, φορείς και πρωτοβουλίες – </w:t>
      </w:r>
      <w:proofErr w:type="spellStart"/>
      <w:r w:rsidRPr="00F153A1">
        <w:rPr>
          <w:rFonts w:eastAsia="Times New Roman"/>
          <w:color w:val="000000"/>
          <w:lang w:eastAsia="el-GR"/>
        </w:rPr>
        <w:t>Προσβάσιμο</w:t>
      </w:r>
      <w:proofErr w:type="spellEnd"/>
      <w:r w:rsidRPr="00F153A1">
        <w:rPr>
          <w:rFonts w:eastAsia="Times New Roman"/>
          <w:color w:val="000000"/>
          <w:lang w:eastAsia="el-GR"/>
        </w:rPr>
        <w:t xml:space="preserve"> στο: </w:t>
      </w:r>
      <w:hyperlink r:id="rId13" w:history="1">
        <w:r w:rsidRPr="00F153A1">
          <w:rPr>
            <w:rStyle w:val="-"/>
            <w:rFonts w:eastAsia="Times New Roman"/>
            <w:lang w:eastAsia="el-GR"/>
          </w:rPr>
          <w:t>https://www.oecd.org/content/dam/oecd/el/publications/reports/2024/01/financial-literacy-in-greece-relevance-actors-and-initiatives_8d609d75/cb683962-el.pdf</w:t>
        </w:r>
      </w:hyperlink>
      <w:r w:rsidR="00312EB0" w:rsidRPr="00312EB0">
        <w:rPr>
          <w:rStyle w:val="-"/>
          <w:rFonts w:eastAsia="Times New Roman"/>
          <w:lang w:eastAsia="el-GR"/>
        </w:rPr>
        <w:t>.</w:t>
      </w:r>
    </w:p>
    <w:p w14:paraId="54D09768" w14:textId="77777777" w:rsidR="00896778" w:rsidRPr="00F153A1" w:rsidRDefault="00896778" w:rsidP="00F153A1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color w:val="1B1B1B"/>
          <w:shd w:val="clear" w:color="auto" w:fill="FFFFFF"/>
        </w:rPr>
      </w:pPr>
    </w:p>
    <w:p w14:paraId="30BC0B45" w14:textId="29D338FF" w:rsidR="00625884" w:rsidRPr="00F153A1" w:rsidRDefault="00896778" w:rsidP="00F153A1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F153A1">
        <w:rPr>
          <w:rFonts w:asciiTheme="minorHAnsi" w:hAnsiTheme="minorHAnsi" w:cstheme="minorHAnsi"/>
          <w:color w:val="1B1B1B"/>
          <w:shd w:val="clear" w:color="auto" w:fill="FFFFFF"/>
          <w:lang w:val="en-US"/>
        </w:rPr>
        <w:t xml:space="preserve">Piaget, J. (1973). </w:t>
      </w:r>
      <w:r w:rsidRPr="00F153A1">
        <w:rPr>
          <w:rFonts w:asciiTheme="minorHAnsi" w:hAnsiTheme="minorHAnsi" w:cstheme="minorHAnsi"/>
          <w:i/>
          <w:iCs/>
          <w:color w:val="000000"/>
          <w:shd w:val="clear" w:color="auto" w:fill="FFFFFF"/>
          <w:lang w:val="en-US"/>
        </w:rPr>
        <w:t xml:space="preserve">To understand is to </w:t>
      </w:r>
      <w:proofErr w:type="gramStart"/>
      <w:r w:rsidRPr="00F153A1">
        <w:rPr>
          <w:rFonts w:asciiTheme="minorHAnsi" w:hAnsiTheme="minorHAnsi" w:cstheme="minorHAnsi"/>
          <w:i/>
          <w:iCs/>
          <w:color w:val="000000"/>
          <w:shd w:val="clear" w:color="auto" w:fill="FFFFFF"/>
          <w:lang w:val="en-US"/>
        </w:rPr>
        <w:t>invent:</w:t>
      </w:r>
      <w:proofErr w:type="gramEnd"/>
      <w:r w:rsidRPr="00F153A1">
        <w:rPr>
          <w:rFonts w:asciiTheme="minorHAnsi" w:hAnsiTheme="minorHAnsi" w:cstheme="minorHAnsi"/>
          <w:i/>
          <w:iCs/>
          <w:color w:val="000000"/>
          <w:shd w:val="clear" w:color="auto" w:fill="FFFFFF"/>
          <w:lang w:val="en-US"/>
        </w:rPr>
        <w:t xml:space="preserve"> the future of education; right to education in the modern world. </w:t>
      </w:r>
      <w:r w:rsidRPr="00F153A1">
        <w:rPr>
          <w:rFonts w:asciiTheme="minorHAnsi" w:hAnsiTheme="minorHAnsi" w:cstheme="minorHAnsi"/>
          <w:color w:val="000000"/>
          <w:shd w:val="clear" w:color="auto" w:fill="FFFFFF"/>
          <w:lang w:val="en-US"/>
        </w:rPr>
        <w:t>Grossman</w:t>
      </w:r>
      <w:r w:rsidR="00312EB0">
        <w:rPr>
          <w:rFonts w:asciiTheme="minorHAnsi" w:hAnsiTheme="minorHAnsi" w:cstheme="minorHAnsi"/>
          <w:color w:val="000000"/>
          <w:shd w:val="clear" w:color="auto" w:fill="FFFFFF"/>
          <w:lang w:val="en-US"/>
        </w:rPr>
        <w:t>.</w:t>
      </w:r>
    </w:p>
    <w:p w14:paraId="4EE32566" w14:textId="77777777" w:rsidR="00896778" w:rsidRPr="00F153A1" w:rsidRDefault="00896778" w:rsidP="00F153A1">
      <w:pPr>
        <w:tabs>
          <w:tab w:val="left" w:pos="1316"/>
        </w:tabs>
        <w:spacing w:line="276" w:lineRule="auto"/>
        <w:jc w:val="both"/>
        <w:rPr>
          <w:rFonts w:ascii="Roboto" w:hAnsi="Roboto"/>
          <w:color w:val="000000"/>
          <w:shd w:val="clear" w:color="auto" w:fill="FFFFFF"/>
        </w:rPr>
      </w:pPr>
    </w:p>
    <w:p w14:paraId="5FA2E177" w14:textId="2F2BC600" w:rsidR="00896778" w:rsidRPr="003B4E91" w:rsidRDefault="00896778" w:rsidP="00F153A1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color w:val="1B1B1B"/>
          <w:shd w:val="clear" w:color="auto" w:fill="FFFFFF"/>
        </w:rPr>
      </w:pPr>
      <w:r w:rsidRPr="00F153A1">
        <w:rPr>
          <w:rFonts w:asciiTheme="minorHAnsi" w:hAnsiTheme="minorHAnsi" w:cstheme="minorHAnsi"/>
          <w:color w:val="1B1B1B"/>
          <w:shd w:val="clear" w:color="auto" w:fill="FFFFFF"/>
        </w:rPr>
        <w:t xml:space="preserve">Τριλίβα, Σ. &amp; Τ. Αναγνωστοπούλου (2008). </w:t>
      </w:r>
      <w:r w:rsidRPr="00F153A1">
        <w:rPr>
          <w:rFonts w:asciiTheme="minorHAnsi" w:hAnsiTheme="minorHAnsi" w:cstheme="minorHAnsi"/>
          <w:i/>
          <w:iCs/>
          <w:color w:val="1B1B1B"/>
          <w:shd w:val="clear" w:color="auto" w:fill="FFFFFF"/>
        </w:rPr>
        <w:t>Βιωματική μάθηση: ένας πρακτικός οδηγός για εκπαιδευτικούς και ψυχολόγους</w:t>
      </w:r>
      <w:r w:rsidRPr="00F153A1">
        <w:rPr>
          <w:rFonts w:asciiTheme="minorHAnsi" w:hAnsiTheme="minorHAnsi" w:cstheme="minorHAnsi"/>
          <w:color w:val="1B1B1B"/>
          <w:shd w:val="clear" w:color="auto" w:fill="FFFFFF"/>
        </w:rPr>
        <w:t xml:space="preserve">. </w:t>
      </w:r>
      <w:r w:rsidRPr="003B4E91">
        <w:rPr>
          <w:rFonts w:asciiTheme="minorHAnsi" w:hAnsiTheme="minorHAnsi" w:cstheme="minorHAnsi"/>
          <w:color w:val="1B1B1B"/>
          <w:shd w:val="clear" w:color="auto" w:fill="FFFFFF"/>
        </w:rPr>
        <w:t>Τόπος.</w:t>
      </w:r>
    </w:p>
    <w:p w14:paraId="5D33EDB5" w14:textId="77777777" w:rsidR="00896778" w:rsidRPr="003B4E91" w:rsidRDefault="00896778" w:rsidP="00625884">
      <w:pPr>
        <w:tabs>
          <w:tab w:val="left" w:pos="1316"/>
        </w:tabs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75FC5B11" w14:textId="77777777" w:rsidR="00896778" w:rsidRPr="003B4E91" w:rsidRDefault="00896778" w:rsidP="00625884">
      <w:pPr>
        <w:tabs>
          <w:tab w:val="left" w:pos="1316"/>
        </w:tabs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3469A3F0" w14:textId="1B7A8442" w:rsidR="00625884" w:rsidRPr="00896778" w:rsidRDefault="00625884" w:rsidP="003B4E91">
      <w:pPr>
        <w:tabs>
          <w:tab w:val="left" w:pos="1316"/>
        </w:tabs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sectPr w:rsidR="00625884" w:rsidRPr="00896778" w:rsidSect="00865E82">
      <w:headerReference w:type="default" r:id="rId14"/>
      <w:footerReference w:type="default" r:id="rId15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383B18" w14:textId="77777777" w:rsidR="00067EA0" w:rsidRDefault="00067EA0">
      <w:r>
        <w:separator/>
      </w:r>
    </w:p>
  </w:endnote>
  <w:endnote w:type="continuationSeparator" w:id="0">
    <w:p w14:paraId="0CD7B503" w14:textId="77777777" w:rsidR="00067EA0" w:rsidRDefault="00067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FED49" w14:textId="60022D13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C1408" w14:textId="77777777" w:rsidR="00067EA0" w:rsidRDefault="00067EA0">
      <w:r>
        <w:separator/>
      </w:r>
    </w:p>
  </w:footnote>
  <w:footnote w:type="continuationSeparator" w:id="0">
    <w:p w14:paraId="1E22B1B0" w14:textId="77777777" w:rsidR="00067EA0" w:rsidRDefault="00067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15"/>
    <w:rsid w:val="00021C02"/>
    <w:rsid w:val="00050F60"/>
    <w:rsid w:val="00067EA0"/>
    <w:rsid w:val="00124AE9"/>
    <w:rsid w:val="001553DE"/>
    <w:rsid w:val="002D2711"/>
    <w:rsid w:val="00306433"/>
    <w:rsid w:val="00312EB0"/>
    <w:rsid w:val="003B4E91"/>
    <w:rsid w:val="003C08BA"/>
    <w:rsid w:val="004E7A41"/>
    <w:rsid w:val="00625884"/>
    <w:rsid w:val="00640B5C"/>
    <w:rsid w:val="006A5215"/>
    <w:rsid w:val="00851A6D"/>
    <w:rsid w:val="00865E82"/>
    <w:rsid w:val="00896778"/>
    <w:rsid w:val="00B17B8D"/>
    <w:rsid w:val="00B756E0"/>
    <w:rsid w:val="00B97C74"/>
    <w:rsid w:val="00BE1597"/>
    <w:rsid w:val="00D56947"/>
    <w:rsid w:val="00DE5A9D"/>
    <w:rsid w:val="00E12BEF"/>
    <w:rsid w:val="00E243F2"/>
    <w:rsid w:val="00ED6657"/>
    <w:rsid w:val="00F153A1"/>
    <w:rsid w:val="00F2058E"/>
    <w:rsid w:val="00F7587B"/>
    <w:rsid w:val="0B7AE21B"/>
    <w:rsid w:val="26DF8BB0"/>
    <w:rsid w:val="2D886574"/>
    <w:rsid w:val="3BE31439"/>
    <w:rsid w:val="481E110B"/>
    <w:rsid w:val="4A6C9705"/>
    <w:rsid w:val="7348A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styleId="-">
    <w:name w:val="Hyperlink"/>
    <w:basedOn w:val="a0"/>
    <w:uiPriority w:val="99"/>
    <w:unhideWhenUsed/>
    <w:rsid w:val="00625884"/>
    <w:rPr>
      <w:color w:val="0000FF"/>
      <w:u w:val="single"/>
    </w:rPr>
  </w:style>
  <w:style w:type="character" w:styleId="-0">
    <w:name w:val="FollowedHyperlink"/>
    <w:basedOn w:val="a0"/>
    <w:uiPriority w:val="99"/>
    <w:semiHidden/>
    <w:unhideWhenUsed/>
    <w:rsid w:val="00625884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25884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625884"/>
  </w:style>
  <w:style w:type="paragraph" w:customStyle="1" w:styleId="p1">
    <w:name w:val="p1"/>
    <w:basedOn w:val="a"/>
    <w:rsid w:val="00896778"/>
    <w:pPr>
      <w:widowControl/>
      <w:autoSpaceDE/>
      <w:autoSpaceDN/>
    </w:pPr>
    <w:rPr>
      <w:rFonts w:ascii="Helvetica" w:eastAsia="Times New Roman" w:hAnsi="Helvetica" w:cs="Times New Roman"/>
      <w:color w:val="141413"/>
      <w:sz w:val="15"/>
      <w:szCs w:val="15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oecd.org/content/dam/oecd/el/publications/reports/2024/01/financial-literacy-in-greece-relevance-actors-and-initiatives_8d609d75/cb683962-el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unric.org/el/17-&#963;&#964;&#959;&#967;&#959;&#953;-&#946;&#953;&#969;&#963;&#953;&#956;&#951;&#963;-&#945;&#957;&#945;&#960;&#964;&#965;&#958;&#951;&#963;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ropa.eu/eurobarometer/surveys/detail/2953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doi.org/10.1177/204717341771955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9762CE-6A83-4C83-B94D-0A33D766F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335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17</cp:revision>
  <dcterms:created xsi:type="dcterms:W3CDTF">2024-06-05T11:08:00Z</dcterms:created>
  <dcterms:modified xsi:type="dcterms:W3CDTF">2026-01-13T06:04:00Z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